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spacing w:before="100" w:after="100" w:lineRule="auto" w:line="240.0"/>
        <w:rPr>
          <w:rFonts w:hAnsi="Times New Roman" w:ascii="Times New Roman"/>
          <w:sz w:val="36"/>
          <w:b w:val="1"/>
          <w:i w:val="1"/>
          <w:color w:val="ff0000"/>
          <w:u w:val="single"/>
        </w:rPr>
      </w:pPr>
      <w:r>
        <w:rPr>
          <w:rFonts w:hAnsi="Times New Roman" w:ascii="Times New Roman"/>
          <w:sz w:val="36"/>
          <w:b w:val="1"/>
          <w:i w:val="1"/>
          <w:color w:val="ff0000"/>
          <w:u w:val="single"/>
        </w:rPr>
        <w:t xml:space="preserve">Публичный доклад заведующей муниципального бюджетного дошкольного образовательного учреждения «Детский сад №7 с.Чермен» МО-Пригородный район РСО-Алания</w:t>
      </w:r>
    </w:p>
    <w:p>
      <w:pPr>
        <w:jc w:val="center"/>
        <w:pStyle w:val="0"/>
        <w:spacing w:before="100" w:after="100" w:lineRule="auto" w:line="240.0"/>
        <w:rPr>
          <w:rFonts w:hAnsi="Times New Roman" w:ascii="Times New Roman"/>
          <w:sz w:val="36"/>
          <w:b w:val="1"/>
          <w:i w:val="1"/>
          <w:color w:val="ff0000"/>
        </w:rPr>
      </w:pPr>
      <w:r>
        <w:rPr>
          <w:rFonts w:hAnsi="Times New Roman" w:ascii="Times New Roman"/>
          <w:sz w:val="36"/>
          <w:b w:val="1"/>
          <w:i w:val="1"/>
          <w:color w:val="ff0000"/>
          <w:u w:val="single"/>
        </w:rPr>
        <w:t xml:space="preserve">за 2014 - 2015 учебный год.</w:t>
      </w:r>
    </w:p>
    <w:p>
      <w:pPr>
        <w:ind w:left="720"/>
        <w:pStyle w:val="0"/>
        <w:spacing w:before="100" w:after="100" w:lineRule="auto" w:line="240.0"/>
        <w:rPr>
          <w:rFonts w:hAnsi="Times New Roman" w:ascii="Times New Roman"/>
          <w:sz w:val="24"/>
        </w:rPr>
      </w:pPr>
    </w:p>
    <w:p>
      <w:pPr>
        <w:jc w:val="center"/>
        <w:pStyle w:val="0"/>
        <w:spacing w:before="100" w:after="100" w:lineRule="auto" w:line="240.0"/>
        <w:rPr>
          <w:rFonts w:hAnsi="Times New Roman" w:ascii="Times New Roman"/>
          <w:sz w:val="28"/>
          <w:b w:val="1"/>
          <w:color w:val="000000"/>
          <w:u w:val="none"/>
        </w:rPr>
      </w:pPr>
      <w:r>
        <w:rPr>
          <w:rFonts w:hAnsi="Times New Roman" w:ascii="Times New Roman"/>
          <w:sz w:val="28"/>
          <w:b w:val="1"/>
        </w:rPr>
        <w:t xml:space="preserve">Публичный доклад о деятельности  </w:t>
      </w:r>
      <w:r>
        <w:rPr>
          <w:rFonts w:hAnsi="Times New Roman" w:ascii="Times New Roman"/>
          <w:sz w:val="28"/>
          <w:b w:val="1"/>
          <w:color w:val="000000"/>
          <w:u w:val="none"/>
        </w:rPr>
        <w:t xml:space="preserve">муниципального бюджетного</w:t>
      </w:r>
      <w:r>
        <w:rPr>
          <w:rFonts w:hAnsi="Times New Roman" w:ascii="Times New Roman"/>
          <w:sz w:val="28"/>
          <w:b w:val="1"/>
          <w:color w:val="000000"/>
        </w:rPr>
        <w:t xml:space="preserve"> дошкольного</w:t>
      </w:r>
      <w:r>
        <w:rPr>
          <w:rFonts w:hAnsi="Times New Roman" w:ascii="Times New Roman"/>
          <w:sz w:val="28"/>
          <w:b w:val="1"/>
          <w:color w:val="000000"/>
          <w:u w:val="none"/>
        </w:rPr>
        <w:t xml:space="preserve"> образовательного учреждения «Детский сад №7 с.Чермен» </w:t>
      </w:r>
    </w:p>
    <w:p>
      <w:pPr>
        <w:jc w:val="center"/>
        <w:pStyle w:val="0"/>
        <w:spacing w:before="100" w:after="10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8"/>
          <w:b w:val="1"/>
        </w:rPr>
        <w:t xml:space="preserve">за 2014-2015 учебный год</w:t>
      </w:r>
    </w:p>
    <w:tbl>
      <w:tblPr>
        <w:tblBorders>
          <w:right w:sz="6" w:val="single"/>
          <w:insideV w:sz="0" w:val="none"/>
          <w:bottom w:sz="6" w:val="single"/>
          <w:top w:sz="6" w:val="single"/>
          <w:insideH w:sz="0" w:val="none"/>
          <w:left w:sz="6" w:val="single"/>
        </w:tblBorders>
        <w:tblCellMar>
          <w:left w:type="dxa" w:w="15"/>
          <w:right w:type="dxa" w:w="15"/>
          <w:top w:type="dxa" w:w="15"/>
          <w:bottom w:type="dxa" w:w="15"/>
        </w:tblCellMar>
        <w:tblCellSpacing w:type="dxa" w:w="15"/>
        <w:tblLayout w:type="autofit"/>
        <w:tblInd w:type="dxa" w:w="-60"/>
      </w:tblPr>
      <w:tblGrid>
        <w:gridCol w:w="2389"/>
        <w:gridCol w:w="7086"/>
      </w:tblGrid>
      <w:tr>
        <w:trPr>
          <w:tblCellMar/>
        </w:trPr>
        <w:tblPrEx>
          <w:tblCellMar/>
        </w:tblPrEx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Название раздела</w:t>
            </w:r>
          </w:p>
        </w:tc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>Содержание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1.Общие характеристики заведения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 </w:t>
            </w:r>
          </w:p>
        </w:tc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b w:val="1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Название (по уставу): муниципальное бюджетное дошкольное образовательное учреждение "Детский сад №7 с.Чермен"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>Тип:</w:t>
            </w:r>
            <w:r>
              <w:rPr>
                <w:rFonts w:hAnsi="Times New Roman" w:ascii="Times New Roman"/>
                <w:sz w:val="28"/>
              </w:rPr>
              <w:t xml:space="preserve">  дошкольное образовательное учреждение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>Вид:</w:t>
            </w:r>
            <w:r>
              <w:rPr>
                <w:rFonts w:hAnsi="Times New Roman" w:ascii="Times New Roman"/>
                <w:sz w:val="28"/>
              </w:rPr>
              <w:t xml:space="preserve"> детский сад, реализующий основную общеобразовательную программу дошкольного образования</w:t>
            </w:r>
            <w:r>
              <w:rPr>
                <w:rFonts w:hAnsi="Times New Roman" w:ascii="Times New Roman"/>
                <w:sz w:val="28"/>
              </w:rPr>
              <w:t>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>Статус:</w:t>
            </w:r>
            <w:r>
              <w:rPr>
                <w:rFonts w:hAnsi="Times New Roman" w:ascii="Times New Roman"/>
                <w:sz w:val="28"/>
              </w:rPr>
              <w:t xml:space="preserve"> бюджетное  учреждение</w:t>
            </w:r>
            <w:r>
              <w:rPr>
                <w:rFonts w:hAnsi="Times New Roman" w:ascii="Times New Roman"/>
                <w:sz w:val="28"/>
              </w:rPr>
              <w:t>.</w:t>
            </w:r>
          </w:p>
          <w:p>
            <w:pPr/>
            <w:r>
              <w:rPr>
                <w:rFonts w:hAnsi="Times New Roman" w:ascii="Times New Roman"/>
                <w:sz w:val="28"/>
                <w:b w:val="1"/>
              </w:rPr>
              <w:t xml:space="preserve">Учредитель: </w:t>
            </w:r>
            <w:r>
              <w:rPr>
                <w:rFonts w:hAnsi="Times New Roman" w:ascii="Times New Roman"/>
                <w:sz w:val="28"/>
              </w:rPr>
              <w:t xml:space="preserve">Управление образования АМС Пригородного </w:t>
            </w:r>
            <w:r>
              <w:rPr>
                <w:rFonts w:hAnsi="Times New Roman" w:ascii="Times New Roman"/>
                <w:sz w:val="28"/>
              </w:rPr>
              <w:t>р</w:t>
            </w:r>
            <w:r>
              <w:rPr>
                <w:rFonts w:hAnsi="Times New Roman" w:ascii="Times New Roman"/>
                <w:sz w:val="28"/>
              </w:rPr>
              <w:t>а</w:t>
            </w:r>
            <w:r>
              <w:rPr>
                <w:rFonts w:hAnsi="Times New Roman" w:ascii="Times New Roman"/>
                <w:sz w:val="28"/>
              </w:rPr>
              <w:t>й</w:t>
            </w:r>
            <w:r>
              <w:rPr>
                <w:rFonts w:hAnsi="Times New Roman" w:ascii="Times New Roman"/>
                <w:sz w:val="28"/>
              </w:rPr>
              <w:t>о</w:t>
            </w:r>
            <w:r>
              <w:rPr>
                <w:rFonts w:hAnsi="Times New Roman" w:ascii="Times New Roman"/>
                <w:sz w:val="28"/>
              </w:rPr>
              <w:t>н</w:t>
            </w:r>
            <w:r>
              <w:rPr>
                <w:rFonts w:hAnsi="Times New Roman" w:ascii="Times New Roman"/>
                <w:sz w:val="28"/>
              </w:rPr>
              <w:t>а</w:t>
            </w:r>
            <w:r>
              <w:rPr>
                <w:rFonts w:hAnsi="Times New Roman" w:ascii="Times New Roman"/>
                <w:sz w:val="28"/>
              </w:rPr>
              <w:t>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Лицензия на образовательную деятельность: </w:t>
            </w:r>
            <w:r>
              <w:rPr>
                <w:rFonts w:hAnsi="Times New Roman" w:ascii="Times New Roman"/>
                <w:sz w:val="28"/>
                <w:color w:val="000000"/>
              </w:rPr>
              <w:t xml:space="preserve">Серия 15Л01    № 0001095, регистрационный номер № 2185, дата выдачи 10 августа 2015 года</w:t>
            </w:r>
            <w:r>
              <w:rPr>
                <w:rFonts w:hAnsi="Times New Roman" w:ascii="Times New Roman"/>
                <w:sz w:val="28"/>
              </w:rPr>
              <w:t>.;</w:t>
            </w:r>
          </w:p>
          <w:p>
            <w:pPr>
              <w:rPr>
                <w:rFonts w:hAnsi="Times New Roman" w:ascii="Times New Roman"/>
                <w:sz w:val="28"/>
                <w:b w:val="1"/>
              </w:rPr>
            </w:pPr>
            <w:r>
              <w:rPr>
                <w:rFonts w:hAnsi="Times New Roman" w:ascii="Times New Roman"/>
                <w:sz w:val="28"/>
                <w:b w:val="1"/>
              </w:rPr>
              <w:t>ИНН-1512019341;</w:t>
            </w:r>
          </w:p>
          <w:p>
            <w:pPr>
              <w:rPr>
                <w:rFonts w:hAnsi="Times New Roman" w:ascii="Times New Roman"/>
                <w:sz w:val="28"/>
                <w:b w:val="1"/>
              </w:rPr>
            </w:pPr>
            <w:r>
              <w:rPr>
                <w:rFonts w:hAnsi="Times New Roman" w:ascii="Times New Roman"/>
                <w:sz w:val="28"/>
                <w:b w:val="1"/>
              </w:rPr>
              <w:t>ОГРН-1151512010011;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b w:val="1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Телефон: 88673841464</w:t>
            </w:r>
          </w:p>
          <w:p>
            <w:pPr>
              <w:pStyle w:val="0"/>
              <w:spacing w:before="100" w:after="100" w:lineRule="auto" w:line="240.0"/>
            </w:pPr>
            <w:r>
              <w:rPr>
                <w:rFonts w:hAnsi="Times New Roman" w:ascii="Times New Roman"/>
                <w:sz w:val="28"/>
                <w:b w:val="1"/>
              </w:rPr>
              <w:t xml:space="preserve">Адрес электронной почты:</w:t>
            </w:r>
            <w:r>
              <w:rPr>
                <w:rFonts w:hAnsi="Times New Roman" w:ascii="Times New Roman"/>
                <w:sz w:val="28"/>
                <w:b w:val="1"/>
                <w:color w:val="0000cd"/>
              </w:rPr>
              <w:t xml:space="preserve"> </w:t>
            </w:r>
            <w:r>
              <w:rPr>
                <w:rFonts w:hAnsi="Times New Roman" w:ascii="Times New Roman"/>
                <w:sz w:val="28"/>
              </w:rPr>
              <w:t>chermen7@list.ru</w:t>
            </w:r>
          </w:p>
          <w:p>
            <w:pPr>
              <w:rPr>
                <w:rFonts w:hAnsi="Times New Roman" w:ascii="Times New Roman"/>
                <w:sz w:val="28"/>
                <w:b w:val="1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Адрес сайта ДОУ:</w:t>
            </w:r>
            <w:r>
              <w:rPr>
                <w:rFonts w:hAnsi="Times New Roman" w:ascii="Times New Roman"/>
                <w:sz w:val="28"/>
                <w:b w:val="1"/>
                <w:color w:val="0000cd"/>
              </w:rPr>
              <w:t xml:space="preserve"> </w:t>
            </w:r>
            <w:hyperlink r:id="rId1">
              <w:r>
                <w:rPr>
                  <w:rFonts w:hAnsi="Times New Roman" w:ascii="Times New Roman"/>
                  <w:sz w:val="28"/>
                  <w:b w:val="1"/>
                  <w:color w:val="04a6e3"/>
                  <w:u w:val="single"/>
                </w:rPr>
                <w:t>chermen7.irdou.ru</w:t>
              </w:r>
            </w:hyperlink>
            <w:r>
              <w:rPr>
                <w:rFonts w:hAnsi="Times New Roman" w:ascii="Times New Roman"/>
                <w:sz w:val="28"/>
                <w:b w:val="1"/>
                <w:color w:val="0000cd"/>
              </w:rPr>
              <w:t> 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>Местонахождение:</w:t>
            </w:r>
            <w:r>
              <w:rPr>
                <w:rFonts w:hAnsi="Times New Roman" w:ascii="Times New Roman"/>
                <w:sz w:val="28"/>
              </w:rPr>
              <w:t xml:space="preserve"> Республика Северная Осетия- Алания, Пригородный раон, с. Чермен, ул.Хадонова, 76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Режим работы: </w:t>
            </w:r>
            <w:r>
              <w:rPr>
                <w:rFonts w:hAnsi="Times New Roman" w:ascii="Times New Roman"/>
                <w:sz w:val="28"/>
              </w:rPr>
              <w:t xml:space="preserve">Пятидневная рабочая неделя с 07.00 до 19-00 ч.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Выходные: суббота, воскресенье, праздничные дни.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Время пребывания детей: 12 часовое.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Структура: </w:t>
            </w:r>
            <w:r>
              <w:rPr>
                <w:rFonts w:hAnsi="Times New Roman" w:ascii="Times New Roman"/>
                <w:sz w:val="28"/>
              </w:rPr>
              <w:t xml:space="preserve">2 группы с фактическим числом воспитанников на конец учебного года- 60.</w:t>
            </w:r>
          </w:p>
          <w:p>
            <w:pPr/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Структура управления: </w:t>
            </w:r>
          </w:p>
          <w:p>
            <w:pPr>
              <w:pStyle w:val="0"/>
              <w:spacing w:before="100" w:after="100" w:lineRule="auto" w:line="240.0"/>
            </w:pPr>
            <w:r>
              <w:rPr>
                <w:rFonts w:hAnsi="Times New Roman" w:ascii="Times New Roman"/>
                <w:sz w:val="28"/>
                <w:b w:val="1"/>
                <w:u w:val="single"/>
              </w:rPr>
              <w:t>Заведующая:</w:t>
            </w:r>
            <w:r>
              <w:rPr>
                <w:rFonts w:hAnsi="Times New Roman" w:ascii="Times New Roman"/>
                <w:sz w:val="28"/>
                <w:b w:val="1"/>
              </w:rPr>
              <w:t xml:space="preserve"> </w:t>
            </w:r>
            <w:r>
              <w:rPr>
                <w:rFonts w:hAnsi="Times New Roman" w:ascii="Times New Roman"/>
                <w:sz w:val="28"/>
              </w:rPr>
              <w:t xml:space="preserve">Погорова Замира Магометовна</w:t>
            </w:r>
          </w:p>
          <w:p>
            <w:pPr/>
          </w:p>
          <w:p>
            <w:pPr>
              <w:pStyle w:val="0"/>
              <w:spacing w:after="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Кадровое обеспечение воспитательно- ​учебного процесса: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Педагогический процесс в ДОУ обеспечивают специалисты: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2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>заведующая;</w:t>
            </w:r>
          </w:p>
          <w:p>
            <w:pPr/>
            <w:r>
              <w:t xml:space="preserve">        .        </w:t>
            </w:r>
            <w:r>
              <w:rPr>
                <w:rFonts w:hAnsi="Times New Roman" w:ascii="Times New Roman"/>
                <w:sz w:val="28"/>
              </w:rPr>
              <w:t xml:space="preserve">старший воспитатель;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2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3 воспитателя;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2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Музыкальный руководитель</w:t>
            </w:r>
          </w:p>
          <w:p>
            <w:pPr>
              <w:pStyle w:val="17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Из них имеют: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26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высшее образование – 4 чел.;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26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среднее специальное педагогическое – 1 чел.;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26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среднее специальное- 1 чел.</w:t>
            </w:r>
          </w:p>
          <w:p>
            <w:pPr>
              <w:rPr>
                <w:rFonts w:hAnsi="Times New Roman" w:ascii="Times New Roman"/>
                <w:sz w:val="28"/>
              </w:rPr>
            </w:pPr>
          </w:p>
          <w:p>
            <w:pPr>
              <w:pStyle w:val="17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Условия обучения и воспитания</w:t>
            </w:r>
            <w:r>
              <w:rPr>
                <w:sz w:val="28"/>
                <w:b w:val="1"/>
              </w:rPr>
              <w:t>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 ДОУ имеются: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3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кабинет заведующей;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3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участки для прогулок;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3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групповые помещения с учетом возрастных особенностей детей;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3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помещения, обеспечивающие быт, и т. д.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Все кабинеты оснащены современным оборудованием.</w:t>
            </w:r>
          </w:p>
          <w:p>
            <w:pPr>
              <w:pStyle w:val="17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Управление детским садом</w:t>
            </w:r>
            <w:r>
              <w:rPr>
                <w:sz w:val="28"/>
                <w:b w:val="1"/>
              </w:rPr>
              <w:t>:</w:t>
            </w:r>
          </w:p>
          <w:p>
            <w:pPr>
              <w:pStyle w:val="17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 состав органов самоуправления ДОУ входят: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28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Совет ДОУ;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28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родительский комитет;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28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профсоюзный комитет.</w:t>
            </w:r>
          </w:p>
          <w:p>
            <w:pPr/>
          </w:p>
          <w:p>
            <w:pPr/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Формы самоуправления: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общее собрание трудового коллектива, Педагогический совет, родительский комитет, </w:t>
            </w:r>
          </w:p>
          <w:p>
            <w:pPr>
              <w:pStyle w:val="0"/>
              <w:spacing w:after="0" w:lineRule="auto" w:line="240.0"/>
              <w:shd w:fill="ffffff"/>
              <w:rPr>
                <w:rFonts w:hAnsi="Times New Roman" w:ascii="Times New Roman"/>
                <w:sz w:val="28"/>
                <w:color w:val="000000"/>
              </w:rPr>
            </w:pP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> 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2.Особенности образовательного процесса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 </w:t>
            </w:r>
          </w:p>
        </w:tc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Содержание обучения и воспитания детей:</w:t>
            </w:r>
            <w:r>
              <w:rPr>
                <w:rFonts w:hAnsi="Times New Roman" w:ascii="Times New Roman"/>
                <w:sz w:val="28"/>
              </w:rPr>
              <w:t xml:space="preserve"> </w:t>
            </w:r>
            <w:r>
              <w:rPr>
                <w:rFonts w:hAnsi="Times New Roman" w:ascii="Times New Roman"/>
                <w:sz w:val="28"/>
                <w:color w:val="000000"/>
              </w:rPr>
              <w:t xml:space="preserve">Учреждение работает по программе «От рождения до школы» под ред. М.А.Васильевой, Н.Е.Вераксы, Т.С.Комаровой</w:t>
            </w:r>
            <w:r>
              <w:rPr>
                <w:rFonts w:hAnsi="Times New Roman" w:ascii="Times New Roman"/>
                <w:sz w:val="28"/>
              </w:rPr>
              <w:t xml:space="preserve">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Цель программы: </w:t>
            </w:r>
            <w:r>
              <w:rPr>
                <w:rFonts w:hAnsi="Times New Roman" w:ascii="Times New Roman"/>
                <w:sz w:val="28"/>
                <w:color w:val="000000"/>
              </w:rPr>
      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современных условиях.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Охрана и укрепление здоровья детей: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 ДОУ создается здоровьесберегающая среда: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* комфортные условия пребывания, положительный психологический климат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* личностно- ориентированное взаимодействие педагогов с детьми.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 ДОУ используются различные технологии здоровьесбережения: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- физкультурно-оздоровительные;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технологии здоровьесбережения и здоровьеобогащения педагогов;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- валеологического просвещения детей и  родителей,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здоровьесберегающие образовательные технологии в детском саду.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Социальное партнерство: 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2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МБОУ "СОШ №3с.Чермен"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Основные формы работы с родителями: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Консультации, родительские собрания, конкурсы, выставки, индивидуальное консультирование, анкетирование, совместное проведение праздников, развлечений, открытые просмотры ООД, наглядная стендовая информация, совместные беседы о профессиях мам и пап.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b w:val="1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3.Условия осуществления образовательного процесса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8"/>
                <w:b w:val="1"/>
              </w:rPr>
              <w:t> </w:t>
            </w:r>
          </w:p>
        </w:tc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Материально- техническое оснащение. Обеспеченность учебными материалами, литературой, игровым оборудованием и т.д.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Прогулочные площадки с  игровыми постройками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Предметная среда в группах соответствует педагогическим, эстетическим требованиям.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 ДОУ имеется 1 компьютер, 1 принтер, 1 синтезатор , 1 ноутбук, 2 телевизора.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Учебными, наглядными пособиями и материалами ДОУ   обеспечено.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Обеспечение безопасности пребывания детей в ДОУ: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Для обеспечения безопасности детей имеется тревожная кнопка; здание учреждения оборудовано системой автоматической пожарной сигнализации (ПС). ДОУ обеспечено средствами первичного пожаротушения.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На входных дверях ДОУ имеются внутренние засовы (замки), гарантирующие ограничение доступа в помещение ДОУ посторонними лицам.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Забор, ограждающий территорию детского сада, находится в удовлетворительном состоянии. Ограждение целостное на всей территории детского сада.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Выполняются требования Роспотребнадзора по организации санитарно-эпидемиологических условий.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Созданы необходимые условия для выполнения Инструкции по охране жизни и здоровья детей. Учеба с персоналом проводится своевременно согласно плана.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</w:rPr>
              <w:t xml:space="preserve">C воспитанниками проводится цикл ООД по ОБЖ.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Соблюдаются санитарные правила, выполняются санитарно-противоэпидемические мероприятия: прохождение медосмотров работниками Учреждения (100%); осмотр детей и т.д.</w:t>
            </w:r>
          </w:p>
          <w:p>
            <w:pPr/>
          </w:p>
          <w:p>
            <w:pPr/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 Оздоровительные мероприятия и  технологии: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- утренняя гимнастика, включающая корригирующие упражнения  для профилактики плоскостопия и нарушения осанки;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- музыкотерапия на музыкальных и групповых занятиях;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- закаливание после сна;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- полоскание полости рта .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                    Работа  по созданию условий для сохранения и укрепления здоровья проводилась в соответствии с планом и поставленными целями и задачами на учебный год, в соответствии с ФГОС. Для полноценного физического развития детей осуществлялся  контроль  двигательной активности детей на занятиях и в свободное время. 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        Оздоровление детей  включало следующие мероприятия: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- мероприятия по охране здоровья детей (витаминотерапия, обработка носовой полости оксалиновой мазью в осенний период, закаливание в течение года);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Был проведен углубленный медосмотр детей перед поступлением в сад .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. К моменту прохождения обследования были проведены лабораторные исследования .</w:t>
            </w:r>
          </w:p>
          <w:p>
            <w:pPr>
              <w:jc w:val="both"/>
              <w:pStyle w:val="0"/>
              <w:spacing w:before="120" w:after="120" w:lineRule="atLeast" w:line="225"/>
              <w:rPr>
                <w:rFonts w:hAnsi="Times New Roman" w:ascii="Times New Roman"/>
                <w:sz w:val="28"/>
                <w:color w:val="000000"/>
              </w:rPr>
            </w:pPr>
            <w:r>
              <w:rPr>
                <w:rFonts w:hAnsi="Times New Roman" w:ascii="Times New Roman"/>
                <w:sz w:val="28"/>
                <w:color w:val="000000"/>
              </w:rPr>
              <w:t xml:space="preserve">Регулярно проводился контроль за проведением утренней гимнастики, велся контроль за двигательным режимом в группах.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Материально- техническая база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ДОУ расположено в новом здании.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 ДОУ имеется отопление, горячее водоснабжение, 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канализация 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Пищеблок обеспечен необходимым технологическим оборудованием (находится в исправном состоянии),  средствами ТСО  ДОУ обеспечено.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Твердого, мягкого, хозяйственного инвентаря –  достаточно, в соответствии с САН Пинами.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4. Кадровый потенциал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 </w:t>
            </w:r>
          </w:p>
        </w:tc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Характеристика педагогического состава: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Всего по штату: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 воспитателей- 4, работает фактически -3.   Музыкальный руководитель-1. </w:t>
            </w:r>
          </w:p>
          <w:p>
            <w:p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Старший воспитатель-1</w:t>
            </w:r>
          </w:p>
          <w:p>
            <w:p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Вакансии: нет.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Характеристика по педагогическому стажу: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- до 5 лет- 2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- от 10 до 15 лет-3.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Курсовая переподготовка, обучение: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Прошли обучение на курсах повышения квалификации 2 педагога.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5. Результаты деятельности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 </w:t>
            </w:r>
          </w:p>
        </w:tc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b w:val="1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Участие в муниципальных, региональных мероприятиях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В этом учебном году детский сад принял участие в районных мероприятиях.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6.Финансовые ресурсы ДОУ и их использование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 </w:t>
            </w:r>
          </w:p>
        </w:tc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Распределение средств бюджета учреждения по источникам их получения.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Структура основных расходов:</w:t>
            </w:r>
          </w:p>
          <w:tbl>
            <w:tblPr>
              <w:tblBorders>
                <w:right w:sz="6" w:val="single"/>
                <w:insideV w:sz="0" w:val="none"/>
                <w:bottom w:sz="6" w:val="single"/>
                <w:top w:sz="6" w:val="single"/>
                <w:insideH w:sz="0" w:val="none"/>
                <w:left w:sz="6" w:val="single"/>
              </w:tblBorders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Layout w:type="autofit"/>
              <w:tblInd w:type="dxa" w:w="8"/>
            </w:tblPr>
            <w:tblGrid>
              <w:gridCol w:w="4562"/>
              <w:gridCol w:w="1537"/>
            </w:tblGrid>
            <w:tr>
              <w:trPr>
                <w:tblCellMar/>
              </w:trPr>
              <w:tblPrEx>
                <w:tblCellMar/>
              </w:tblPrEx>
              <w:tc>
                <w:tcPr>
                  <w:tcBorders>
                    <w:top w:sz="6" w:val="single" w:color="c0c0c0"/>
                    <w:right w:sz="6" w:val="single" w:color="c0c0c0"/>
                    <w:bottom w:sz="6" w:val="single" w:color="c0c0c0"/>
                    <w:left w:sz="6" w:val="single" w:color="c0c0c0"/>
                  </w:tcBorders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8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 xml:space="preserve">Вид расхода</w:t>
                  </w:r>
                </w:p>
              </w:tc>
              <w:tc>
                <w:tcPr>
                  <w:tcBorders>
                    <w:top w:sz="6" w:val="single" w:color="c0c0c0"/>
                    <w:right w:sz="6" w:val="single" w:color="c0c0c0"/>
                    <w:bottom w:sz="6" w:val="single" w:color="c0c0c0"/>
                    <w:left w:sz="6" w:val="single" w:color="c0c0c0"/>
                  </w:tcBorders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 xml:space="preserve">Всего средств</w:t>
                  </w:r>
                  <w:r>
                    <w:rPr>
                      <w:rFonts w:hAnsi="Times New Roman" w:ascii="Times New Roman"/>
                      <w:sz w:val="24"/>
                    </w:rPr>
                    <w:t xml:space="preserve">    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>
                  <w:tcBorders>
                    <w:top w:sz="6" w:val="single" w:color="c0c0c0"/>
                    <w:right w:sz="6" w:val="single" w:color="c0c0c0"/>
                    <w:bottom w:sz="6" w:val="single" w:color="c0c0c0"/>
                    <w:left w:sz="6" w:val="single" w:color="c0c0c0"/>
                  </w:tcBorders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8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 xml:space="preserve">Оплата труда,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8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 xml:space="preserve">Начисления на заработную плату</w:t>
                  </w:r>
                </w:p>
              </w:tc>
              <w:tc>
                <w:tcPr>
                  <w:tcBorders>
                    <w:top w:sz="6" w:val="single" w:color="c0c0c0"/>
                    <w:right w:sz="6" w:val="single" w:color="c0c0c0"/>
                    <w:bottom w:sz="6" w:val="single" w:color="c0c0c0"/>
                    <w:left w:sz="6" w:val="single" w:color="c0c0c0"/>
                  </w:tcBorders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>1397800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>
                  <w:tcBorders>
                    <w:top w:sz="6" w:val="single" w:color="c0c0c0"/>
                    <w:right w:sz="6" w:val="single" w:color="c0c0c0"/>
                    <w:bottom w:sz="6" w:val="single" w:color="c0c0c0"/>
                    <w:left w:sz="6" w:val="single" w:color="c0c0c0"/>
                  </w:tcBorders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 xml:space="preserve">Коммунальные услуги</w:t>
                  </w:r>
                </w:p>
              </w:tc>
              <w:tc>
                <w:tcPr>
                  <w:tcBorders>
                    <w:top w:sz="6" w:val="single" w:color="c0c0c0"/>
                    <w:right w:sz="6" w:val="single" w:color="c0c0c0"/>
                    <w:bottom w:sz="6" w:val="single" w:color="c0c0c0"/>
                    <w:left w:sz="6" w:val="single" w:color="c0c0c0"/>
                  </w:tcBorders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>50000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>
                  <w:tcBorders>
                    <w:top w:sz="6" w:val="single" w:color="c0c0c0"/>
                    <w:right w:sz="6" w:val="single" w:color="c0c0c0"/>
                    <w:bottom w:sz="6" w:val="single" w:color="c0c0c0"/>
                    <w:left w:sz="6" w:val="single" w:color="c0c0c0"/>
                  </w:tcBorders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 xml:space="preserve">Работы, услуги по содержанию  имущества</w:t>
                  </w:r>
                </w:p>
              </w:tc>
              <w:tc>
                <w:tcPr>
                  <w:tcBorders>
                    <w:top w:sz="6" w:val="single" w:color="c0c0c0"/>
                    <w:right w:sz="6" w:val="single" w:color="c0c0c0"/>
                    <w:bottom w:sz="6" w:val="single" w:color="c0c0c0"/>
                    <w:left w:sz="6" w:val="single" w:color="c0c0c0"/>
                  </w:tcBorders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8"/>
                    </w:rPr>
                    <w:t>10000</w:t>
                  </w:r>
                </w:p>
              </w:tc>
            </w:tr>
          </w:tbl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Внебюджетная деятельность: </w:t>
            </w:r>
            <w:r>
              <w:rPr>
                <w:rFonts w:hAnsi="Times New Roman" w:ascii="Times New Roman"/>
                <w:sz w:val="28"/>
              </w:rPr>
              <w:t>Нет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Наличие фонда  поддержки ДОУ: </w:t>
            </w:r>
            <w:r>
              <w:rPr>
                <w:rFonts w:hAnsi="Times New Roman" w:ascii="Times New Roman"/>
                <w:sz w:val="28"/>
              </w:rPr>
              <w:t>Нет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Наличие и стоимость платных услуг: </w:t>
            </w:r>
            <w:r>
              <w:rPr>
                <w:rFonts w:hAnsi="Times New Roman" w:ascii="Times New Roman"/>
                <w:sz w:val="28"/>
              </w:rPr>
              <w:t xml:space="preserve">Не оказывались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> 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b w:val="1"/>
              </w:rPr>
            </w:pP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b w:val="1"/>
              </w:rPr>
            </w:pP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7.Заключение. Перспективы и планы развития</w:t>
            </w:r>
          </w:p>
        </w:tc>
        <w:tc>
          <w:tcPr>
            <w:tcBorders>
              <w:top w:sz="6" w:val="single" w:color="c0c0c0"/>
              <w:right w:sz="6" w:val="single" w:color="c0c0c0"/>
              <w:bottom w:sz="6" w:val="single" w:color="c0c0c0"/>
              <w:left w:sz="6" w:val="single" w:color="c0c0c0"/>
            </w:tcBorders>
          </w:tcPr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b w:val="1"/>
              </w:rPr>
            </w:pP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  <w:b w:val="1"/>
              </w:rPr>
            </w:pP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Выводы по проведенному анализу и перспективы развития: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Воспитательно-образовательная деятельность велась в соответствии с поставленными целями и задачами.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Создается современная предметно- развивающая среда в группах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Осуществлялось сотрудничество в социумом, повлиявшее на качество оказания образовательных услуг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Установлено эффективное взаимодействие с родителями через вовлечение их в организацию воспитательно-образовательной работы ДОУ и применение активных форма работы с семьей.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Нет роста заболеваемости детей  за счет  использования различных здоровьесберегающих технологий.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9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ДОУ укомплектовано кадрами. Все педагоги не имеют задолженности курсовой переподготовки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Перспективы развития: 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0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Продолжать внедрять  программу нового поколения  с целью выполнения требований ФГОС.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0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Привести в соответствие с требованиями  СанПиН 2.4.1. 3049-13 состояние помещений ДОУ и территории ДОУ</w:t>
            </w:r>
          </w:p>
          <w:p>
            <w:pPr>
              <w:pStyle w:val="0"/>
              <w:spacing w:before="100" w:after="100" w:lineRule="auto" w:line="240.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  <w:b w:val="1"/>
              </w:rPr>
              <w:t xml:space="preserve">Задачи  ДОУ на следующий год: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1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Оптимизировать работу по реализации образовательной области «Социализация» через организацию сюжетно-ролевой игры.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1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Внедрять разнообразные формы работы с семьей в вопросах сохранения и укрепления здоровья детей дошкольного возраста.</w:t>
            </w:r>
          </w:p>
          <w:p>
            <w:pPr>
              <w:pStyle w:val="0"/>
              <w:spacing w:before="100" w:after="100" w:lineRule="auto" w:line="240.0"/>
              <w:numPr>
                <w:ilvl w:val="0"/>
                <w:numId w:val="11"/>
              </w:numPr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Продолжать строить воспитательно-образовательный процесс с учетом ФГОС</w:t>
            </w:r>
          </w:p>
        </w:tc>
      </w:tr>
    </w:tbl>
    <w:p>
      <w:pPr>
        <w:pStyle w:val="0"/>
      </w:pP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5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6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7">
    <w:lvl w:ilvl="0">
      <w:numFmt w:val="bullet"/>
      <w:lvlText w:val=""/>
      <w:start w:val="1"/>
      <w:pPr>
        <w:ind w:left="720" w:hanging="360"/>
      </w:pPr>
      <w:rPr>
        <w:rFonts w:hAnsi="Wingdings" w:ascii="Wingdings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8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9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0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1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3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5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6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7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8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9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0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3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5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6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7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8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9">
    <w:lvl w:ilvl="0">
      <w:numFmt w:val="bullet"/>
      <w:lvlText w:val=""/>
      <w:start w:val="1"/>
      <w:pPr>
        <w:ind w:left="696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16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36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56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576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296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16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36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56" w:hanging="360"/>
      </w:pPr>
      <w:rPr>
        <w:rFonts w:hAnsi="Wingdings" w:ascii="Wingdings"/>
        <w:sz w:val="20"/>
      </w:rPr>
    </w:lvl>
  </w:abstractNum>
  <w:abstractNum w:abstractNumId="30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3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5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6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7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8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9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40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4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4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43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num w:numId="34">
    <w:abstractNumId w:val="34"/>
  </w:num>
  <w:num w:numId="40">
    <w:abstractNumId w:val="40"/>
  </w:num>
  <w:num w:numId="32">
    <w:abstractNumId w:val="32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33">
    <w:abstractNumId w:val="33"/>
  </w:num>
  <w:num w:numId="36">
    <w:abstractNumId w:val="36"/>
  </w:num>
  <w:num w:numId="35">
    <w:abstractNumId w:val="35"/>
  </w:num>
  <w:num w:numId="38">
    <w:abstractNumId w:val="38"/>
  </w:num>
  <w:num w:numId="37">
    <w:abstractNumId w:val="37"/>
  </w:num>
  <w:num w:numId="41">
    <w:abstractNumId w:val="41"/>
  </w:num>
  <w:num w:numId="42">
    <w:abstractNumId w:val="42"/>
  </w:num>
  <w:num w:numId="43">
    <w:abstractNumId w:val="43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21">
    <w:abstractNumId w:val="21"/>
  </w:num>
  <w:num w:numId="22">
    <w:abstractNumId w:val="22"/>
  </w:num>
  <w:num w:numId="23">
    <w:abstractNumId w:val="23"/>
  </w:num>
  <w:num w:numId="28">
    <w:abstractNumId w:val="28"/>
  </w:num>
  <w:num w:numId="25">
    <w:abstractNumId w:val="25"/>
  </w:num>
  <w:num w:numId="26">
    <w:abstractNumId w:val="26"/>
  </w:num>
  <w:num w:numId="39">
    <w:abstractNumId w:val="39"/>
  </w:num>
  <w:num w:numId="31">
    <w:abstractNumId w:val="31"/>
  </w:num>
  <w:num w:numId="29">
    <w:abstractNumId w:val="29"/>
  </w:num>
  <w:num w:numId="30">
    <w:abstractNumId w:val="30"/>
  </w:num>
  <w:num w:numId="24">
    <w:abstractNumId w:val="24"/>
  </w:num>
  <w:num w:numId="27">
    <w:abstractNumId w:val="27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20" w:type="paragraph">
    <w:name w:val="Текст выноски"/>
    <w:pPr>
      <w:spacing w:after="0" w:lineRule="auto" w:line="240.0"/>
    </w:pPr>
    <w:rPr>
      <w:rFonts w:hAnsi="Tahoma" w:ascii="Tahoma"/>
      <w:sz w:val="16"/>
    </w:rPr>
  </w:style>
  <w:style w:styleId="17" w:type="paragraph">
    <w:name w:val="Обычный (веб)"/>
    <w:pPr>
      <w:spacing w:before="100" w:after="100" w:lineRule="auto" w:line="240.0"/>
    </w:pPr>
    <w:rPr>
      <w:rFonts w:hAnsi="Times New Roman" w:ascii="Times New Roman"/>
      <w:sz w:val="24"/>
    </w:rPr>
  </w:style>
  <w:style w:styleId="22" w:type="paragraph">
    <w:name w:val="Абзац списка"/>
    <w:pPr>
      <w:ind w:left="720"/>
      <w:spacing w:after="200" w:lineRule="auto" w:line="276.0"/>
    </w:pPr>
    <w:rPr>
      <w:sz w:val="22"/>
    </w:rPr>
  </w:style>
  <w:style w:styleId="1" w:type="paragraph">
    <w:name w:val="Заголовок 1"/>
    <w:pPr>
      <w:spacing w:before="480" w:after="0" w:lineRule="auto" w:line="276.0"/>
    </w:pPr>
    <w:rPr>
      <w:rFonts w:hAnsi="Cambria" w:ascii="Cambria"/>
      <w:sz w:val="28"/>
      <w:b w:val="1"/>
      <w:color w:val="365f91"/>
    </w:rPr>
  </w:style>
  <w:style w:styleId="0" w:type="paragraph">
    <w:name w:val="Обычный"/>
    <w:pPr>
      <w:spacing w:after="200" w:lineRule="auto" w:line="276.0"/>
    </w:pPr>
    <w:rPr>
      <w:sz w:val="22"/>
    </w:rPr>
  </w:style>
  <w:style w:styleId="2" w:type="paragraph">
    <w:name w:val="Заголовок 2"/>
    <w:pPr>
      <w:spacing w:before="100" w:after="100" w:lineRule="auto" w:line="240.0"/>
    </w:pPr>
    <w:rPr>
      <w:rFonts w:hAnsi="Times New Roman" w:ascii="Times New Roman"/>
      <w:sz w:val="36"/>
      <w:b w:val="1"/>
    </w:rPr>
  </w:style>
</w:styles>
</file>

<file path=word/_rels/document.xml.rels><?xml version='1.0' encoding='utf-8' standalone='yes'?>
<Relationships xmlns="http://schemas.openxmlformats.org/package/2006/relationships"><Relationship TargetMode="External" Type="http://schemas.openxmlformats.org/officeDocument/2006/relationships/hyperlink" Id="rId1" Target="http://chermen7.irdou.ru"/><Relationship Id="rId2" Target="numbering.xml" Type="http://schemas.openxmlformats.org/officeDocument/2006/relationships/numbering"/><Relationship Id="rId3" Target="settings.xml" Type="http://schemas.openxmlformats.org/officeDocument/2006/relationships/settings"/><Relationship Id="rId4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публичный очет детского сада №7.docx</dc:title>
</cp:coreProperties>
</file>